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71F9" w14:textId="77777777" w:rsidR="00983DBE" w:rsidRDefault="00983DBE">
      <w:pPr>
        <w:pStyle w:val="Title"/>
        <w:rPr>
          <w:szCs w:val="20"/>
        </w:rPr>
      </w:pPr>
      <w:r>
        <w:t>KLAMATH FAMILY HEAD START</w:t>
      </w:r>
    </w:p>
    <w:p w14:paraId="7CA4FE7F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0C45250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PERSONNEL </w:t>
      </w:r>
    </w:p>
    <w:p w14:paraId="6696A180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POLICY &amp; PROCEDURE #:  706</w:t>
      </w:r>
    </w:p>
    <w:p w14:paraId="3BBE8E8E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PAGE: 1 of 1</w:t>
      </w:r>
    </w:p>
    <w:p w14:paraId="186FBC5F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119A59BD" w14:textId="77777777" w:rsidR="00983DBE" w:rsidRDefault="00983DBE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0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</w:pPr>
      <w:r>
        <w:rPr>
          <w:b/>
          <w:szCs w:val="20"/>
        </w:rPr>
        <w:t>SUBJECT:  OPEN DOOR/GRIEVANCE</w:t>
      </w:r>
      <w:r w:rsidR="007C632A">
        <w:rPr>
          <w:b/>
          <w:szCs w:val="20"/>
        </w:rPr>
        <w:t xml:space="preserve"> POLICY</w:t>
      </w:r>
    </w:p>
    <w:p w14:paraId="6971573D" w14:textId="77777777" w:rsidR="00983DBE" w:rsidRDefault="00983DBE">
      <w:pPr>
        <w:tabs>
          <w:tab w:val="left" w:pos="360"/>
        </w:tabs>
        <w:rPr>
          <w:b/>
          <w:bCs/>
          <w:u w:val="single"/>
        </w:rPr>
      </w:pPr>
    </w:p>
    <w:p w14:paraId="3C2CA61D" w14:textId="77777777" w:rsidR="00983DBE" w:rsidRDefault="00983DBE">
      <w:pPr>
        <w:tabs>
          <w:tab w:val="left" w:pos="360"/>
        </w:tabs>
      </w:pPr>
      <w:r>
        <w:rPr>
          <w:b/>
          <w:bCs/>
          <w:u w:val="single"/>
        </w:rPr>
        <w:t>POLICY:</w:t>
      </w:r>
    </w:p>
    <w:p w14:paraId="17ED700B" w14:textId="77777777" w:rsidR="00983DBE" w:rsidRDefault="00983DBE">
      <w:pPr>
        <w:tabs>
          <w:tab w:val="left" w:pos="360"/>
        </w:tabs>
      </w:pPr>
    </w:p>
    <w:p w14:paraId="0AF010BE" w14:textId="77777777" w:rsidR="00983DBE" w:rsidRDefault="00983DBE">
      <w:pPr>
        <w:tabs>
          <w:tab w:val="left" w:pos="360"/>
        </w:tabs>
      </w:pPr>
      <w:r>
        <w:t xml:space="preserve">Klamath Family Head Start has </w:t>
      </w:r>
      <w:r w:rsidR="00570AD8">
        <w:t>an</w:t>
      </w:r>
      <w:r w:rsidR="00AB1700">
        <w:t xml:space="preserve"> open-</w:t>
      </w:r>
      <w:r w:rsidR="00122843">
        <w:t>door policy to address employee concerns.  If the employee still has concerns</w:t>
      </w:r>
      <w:r w:rsidR="00AB1700">
        <w:t>,</w:t>
      </w:r>
      <w:r w:rsidR="00122843">
        <w:t xml:space="preserve"> the grievance procedure will be followed.  </w:t>
      </w:r>
    </w:p>
    <w:p w14:paraId="36BF0C16" w14:textId="77777777" w:rsidR="00983DBE" w:rsidRDefault="00983DBE">
      <w:pPr>
        <w:tabs>
          <w:tab w:val="left" w:pos="360"/>
        </w:tabs>
      </w:pPr>
    </w:p>
    <w:p w14:paraId="5A3F7145" w14:textId="77777777" w:rsidR="00983DBE" w:rsidRDefault="00983DBE">
      <w:pPr>
        <w:tabs>
          <w:tab w:val="left" w:pos="360"/>
        </w:tabs>
      </w:pPr>
      <w:r>
        <w:rPr>
          <w:b/>
          <w:bCs/>
          <w:u w:val="single"/>
        </w:rPr>
        <w:t>PURPOSE:</w:t>
      </w:r>
    </w:p>
    <w:p w14:paraId="4EE956A2" w14:textId="77777777" w:rsidR="00983DBE" w:rsidRDefault="00983DBE">
      <w:pPr>
        <w:tabs>
          <w:tab w:val="left" w:pos="360"/>
        </w:tabs>
      </w:pPr>
    </w:p>
    <w:p w14:paraId="68AD5446" w14:textId="77777777" w:rsidR="00983DBE" w:rsidRDefault="00AB1700">
      <w:pPr>
        <w:tabs>
          <w:tab w:val="left" w:pos="360"/>
        </w:tabs>
      </w:pPr>
      <w:r>
        <w:t>To deal promptly and equitably</w:t>
      </w:r>
      <w:r w:rsidR="00983DBE">
        <w:t xml:space="preserve"> with employee </w:t>
      </w:r>
      <w:r w:rsidR="00122843">
        <w:t>concerns</w:t>
      </w:r>
      <w:r w:rsidR="00983DBE">
        <w:t>.</w:t>
      </w:r>
    </w:p>
    <w:p w14:paraId="5C86EFF3" w14:textId="77777777" w:rsidR="00983DBE" w:rsidRDefault="00983DBE">
      <w:pPr>
        <w:tabs>
          <w:tab w:val="left" w:pos="360"/>
        </w:tabs>
      </w:pPr>
    </w:p>
    <w:p w14:paraId="3FB0140B" w14:textId="77777777" w:rsidR="00983DBE" w:rsidRDefault="00983DBE">
      <w:pPr>
        <w:tabs>
          <w:tab w:val="left" w:pos="360"/>
        </w:tabs>
      </w:pPr>
      <w:r>
        <w:rPr>
          <w:b/>
          <w:bCs/>
          <w:u w:val="single"/>
        </w:rPr>
        <w:t>PROCEDURE:</w:t>
      </w:r>
    </w:p>
    <w:p w14:paraId="60FDD0DF" w14:textId="77777777" w:rsidR="00983DBE" w:rsidRDefault="00983DBE">
      <w:pPr>
        <w:pStyle w:val="BodyTextIndent2"/>
        <w:tabs>
          <w:tab w:val="left" w:pos="360"/>
        </w:tabs>
        <w:ind w:left="0" w:firstLine="0"/>
      </w:pPr>
    </w:p>
    <w:p w14:paraId="0442E3EA" w14:textId="77777777" w:rsidR="00983DBE" w:rsidRPr="00AB1700" w:rsidRDefault="00AB1700" w:rsidP="00AB1700">
      <w:pPr>
        <w:pStyle w:val="BodyTextIndent2"/>
        <w:tabs>
          <w:tab w:val="left" w:pos="360"/>
        </w:tabs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  <w:t>DEFINITION</w:t>
      </w:r>
    </w:p>
    <w:p w14:paraId="152E46E0" w14:textId="77777777" w:rsidR="00983DBE" w:rsidRDefault="00983DBE">
      <w:pPr>
        <w:pStyle w:val="BodyTextIndent2"/>
        <w:tabs>
          <w:tab w:val="left" w:pos="360"/>
        </w:tabs>
        <w:ind w:firstLine="0"/>
      </w:pPr>
      <w:r>
        <w:t xml:space="preserve">A grievance is a written objection to a managerial act or omission that allegedly </w:t>
      </w:r>
      <w:r w:rsidR="00AB1700">
        <w:t>adversely or unfairly a</w:t>
      </w:r>
      <w:r>
        <w:t>ffects the current employee’s wages, hours</w:t>
      </w:r>
      <w:r w:rsidR="00AB1700">
        <w:t>,</w:t>
      </w:r>
      <w:r>
        <w:t xml:space="preserve"> or other terms and conditions of employment and for which Klamath Family Head Start has provided no other administrative relief.</w:t>
      </w:r>
    </w:p>
    <w:p w14:paraId="2B61C210" w14:textId="77777777" w:rsidR="00983DBE" w:rsidRDefault="00983DBE">
      <w:pPr>
        <w:pStyle w:val="BodyTextIndent2"/>
        <w:tabs>
          <w:tab w:val="left" w:pos="360"/>
        </w:tabs>
        <w:ind w:left="360" w:firstLine="0"/>
      </w:pPr>
      <w:r>
        <w:tab/>
      </w:r>
    </w:p>
    <w:p w14:paraId="605EAC9D" w14:textId="77777777" w:rsidR="00983DBE" w:rsidRDefault="00983DBE">
      <w:pPr>
        <w:pStyle w:val="BodyTextIndent2"/>
        <w:tabs>
          <w:tab w:val="left" w:pos="360"/>
        </w:tabs>
        <w:ind w:firstLine="0"/>
      </w:pPr>
      <w:r>
        <w:t>Conflicts and issues are expected to be resolved at the lowest level.  In the event a conflict cannot be resolved the following grievance procedure will be followed.</w:t>
      </w:r>
    </w:p>
    <w:p w14:paraId="2B10E3D8" w14:textId="77777777" w:rsidR="00983DBE" w:rsidRDefault="00983DBE">
      <w:pPr>
        <w:pStyle w:val="BodyTextIndent2"/>
        <w:tabs>
          <w:tab w:val="left" w:pos="360"/>
        </w:tabs>
        <w:ind w:left="1080" w:hanging="360"/>
      </w:pPr>
    </w:p>
    <w:p w14:paraId="4201A305" w14:textId="77777777" w:rsidR="00983DBE" w:rsidRPr="00AB1700" w:rsidRDefault="00AB1700" w:rsidP="00AB1700">
      <w:pPr>
        <w:pStyle w:val="BodyTextIndent2"/>
        <w:tabs>
          <w:tab w:val="left" w:pos="360"/>
        </w:tabs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>
        <w:rPr>
          <w:b/>
          <w:bCs/>
        </w:rPr>
        <w:tab/>
        <w:t>INITATION AND FILING</w:t>
      </w:r>
    </w:p>
    <w:p w14:paraId="53D7D094" w14:textId="77777777" w:rsidR="00983DBE" w:rsidRDefault="00983DBE">
      <w:pPr>
        <w:pStyle w:val="BodyTextIndent2"/>
        <w:tabs>
          <w:tab w:val="left" w:pos="360"/>
        </w:tabs>
        <w:ind w:firstLine="0"/>
      </w:pPr>
      <w:r>
        <w:t>Prior to a written grievance, the problem-solving process will be followed.  The grievance must be submitted to the Executive Director within thirty (30) days of the alleged incident.  The grievance must contain the following:</w:t>
      </w:r>
    </w:p>
    <w:p w14:paraId="1969AED6" w14:textId="77777777" w:rsidR="00983DBE" w:rsidRDefault="00983DBE">
      <w:pPr>
        <w:pStyle w:val="BodyTextIndent2"/>
        <w:tabs>
          <w:tab w:val="left" w:pos="360"/>
        </w:tabs>
        <w:ind w:left="0" w:firstLine="0"/>
      </w:pPr>
      <w:r>
        <w:tab/>
      </w:r>
      <w:r>
        <w:tab/>
      </w:r>
      <w:r>
        <w:tab/>
      </w:r>
      <w:r>
        <w:tab/>
        <w:t>1.</w:t>
      </w:r>
      <w:r>
        <w:tab/>
        <w:t>The circumstances which gave rise to the grievance.</w:t>
      </w:r>
    </w:p>
    <w:p w14:paraId="0664FEE5" w14:textId="77777777" w:rsidR="00983DBE" w:rsidRDefault="00983DBE">
      <w:pPr>
        <w:pStyle w:val="BodyTextIndent2"/>
        <w:tabs>
          <w:tab w:val="left" w:pos="360"/>
        </w:tabs>
        <w:ind w:firstLine="0"/>
      </w:pPr>
      <w:r>
        <w:tab/>
      </w:r>
      <w:r>
        <w:tab/>
        <w:t>2.</w:t>
      </w:r>
      <w:r>
        <w:tab/>
        <w:t>The adverse effect on, or unfairness to, the employee.</w:t>
      </w:r>
    </w:p>
    <w:p w14:paraId="6B933EAD" w14:textId="77777777" w:rsidR="00983DBE" w:rsidRDefault="00983DBE">
      <w:pPr>
        <w:pStyle w:val="BodyTextIndent2"/>
        <w:tabs>
          <w:tab w:val="left" w:pos="360"/>
        </w:tabs>
        <w:ind w:left="0" w:firstLine="0"/>
      </w:pPr>
      <w:r>
        <w:tab/>
      </w:r>
      <w:r>
        <w:tab/>
      </w:r>
      <w:r>
        <w:tab/>
      </w:r>
      <w:r>
        <w:tab/>
        <w:t>3.</w:t>
      </w:r>
      <w:r>
        <w:tab/>
        <w:t>The relief sought.</w:t>
      </w:r>
    </w:p>
    <w:p w14:paraId="0AD8687D" w14:textId="77777777" w:rsidR="00983DBE" w:rsidRDefault="00983DBE">
      <w:pPr>
        <w:pStyle w:val="BodyTextIndent2"/>
        <w:tabs>
          <w:tab w:val="left" w:pos="360"/>
        </w:tabs>
      </w:pPr>
      <w:r>
        <w:tab/>
      </w:r>
      <w:r>
        <w:tab/>
      </w:r>
      <w:r>
        <w:tab/>
      </w:r>
      <w:r>
        <w:tab/>
        <w:t>4.</w:t>
      </w:r>
      <w:r>
        <w:tab/>
        <w:t>The response of the immediate supervisor.</w:t>
      </w:r>
    </w:p>
    <w:p w14:paraId="2B2D3DC8" w14:textId="77777777" w:rsidR="00983DBE" w:rsidRDefault="00983DBE">
      <w:pPr>
        <w:pStyle w:val="BodyTextIndent2"/>
        <w:tabs>
          <w:tab w:val="left" w:pos="360"/>
        </w:tabs>
        <w:ind w:firstLine="0"/>
      </w:pPr>
      <w:r>
        <w:tab/>
      </w:r>
      <w:r>
        <w:tab/>
        <w:t>5.</w:t>
      </w:r>
      <w:r>
        <w:tab/>
        <w:t>A summary of results of attempts to resolve the problem.</w:t>
      </w:r>
    </w:p>
    <w:p w14:paraId="01A7E83E" w14:textId="77777777" w:rsidR="00983DBE" w:rsidRDefault="00983DBE">
      <w:pPr>
        <w:pStyle w:val="BodyTextIndent2"/>
        <w:tabs>
          <w:tab w:val="left" w:pos="360"/>
        </w:tabs>
        <w:ind w:left="0" w:firstLine="0"/>
      </w:pPr>
      <w:r>
        <w:tab/>
      </w:r>
      <w:r>
        <w:tab/>
      </w:r>
      <w:r>
        <w:tab/>
      </w:r>
      <w:r>
        <w:tab/>
        <w:t>6.</w:t>
      </w:r>
      <w:r>
        <w:tab/>
        <w:t>The date or time frame of the grieved occurrence.</w:t>
      </w:r>
    </w:p>
    <w:p w14:paraId="21854A0C" w14:textId="77777777" w:rsidR="00983DBE" w:rsidRDefault="00983DBE">
      <w:pPr>
        <w:pStyle w:val="BodyTextIndent2"/>
        <w:tabs>
          <w:tab w:val="left" w:pos="360"/>
        </w:tabs>
      </w:pPr>
    </w:p>
    <w:p w14:paraId="117678B1" w14:textId="77777777" w:rsidR="00983DBE" w:rsidRDefault="00983DBE">
      <w:pPr>
        <w:pStyle w:val="BodyTextIndent2"/>
        <w:tabs>
          <w:tab w:val="left" w:pos="360"/>
        </w:tabs>
      </w:pPr>
    </w:p>
    <w:p w14:paraId="0900E47A" w14:textId="77777777" w:rsidR="00983DBE" w:rsidRDefault="00AB1700">
      <w:pPr>
        <w:pStyle w:val="BodyTextIndent2"/>
        <w:tabs>
          <w:tab w:val="left" w:pos="360"/>
        </w:tabs>
      </w:pPr>
      <w:r>
        <w:t>NOTE:  I</w:t>
      </w:r>
      <w:r w:rsidR="00983DBE">
        <w:t>f the grievance is with the Executive Director, it will be filed with the Grantee Board Chair.</w:t>
      </w:r>
    </w:p>
    <w:p w14:paraId="0249C0B4" w14:textId="77777777" w:rsidR="00983DBE" w:rsidRDefault="00983DBE">
      <w:pPr>
        <w:pStyle w:val="BodyTextIndent2"/>
        <w:tabs>
          <w:tab w:val="left" w:pos="360"/>
        </w:tabs>
      </w:pPr>
    </w:p>
    <w:p w14:paraId="627260D7" w14:textId="77777777" w:rsidR="00983DBE" w:rsidRDefault="00983DBE">
      <w:pPr>
        <w:pStyle w:val="BodyTextIndent2"/>
        <w:tabs>
          <w:tab w:val="left" w:pos="360"/>
        </w:tabs>
        <w:ind w:left="0" w:firstLine="0"/>
      </w:pPr>
      <w:r>
        <w:t>The decision of the Executive Director (or the Grantee Board Chair if the grievance is with the Executive Director) will be final and binding on all parties.</w:t>
      </w:r>
    </w:p>
    <w:p w14:paraId="58F9F714" w14:textId="77777777" w:rsidR="00983DBE" w:rsidRDefault="00983DBE" w:rsidP="00191922">
      <w:pPr>
        <w:pStyle w:val="BodyTextIndent2"/>
        <w:tabs>
          <w:tab w:val="left" w:pos="360"/>
        </w:tabs>
      </w:pPr>
    </w:p>
    <w:p w14:paraId="0888A0B2" w14:textId="77777777" w:rsidR="00983DBE" w:rsidRDefault="00983DBE" w:rsidP="00191922">
      <w:pPr>
        <w:pStyle w:val="BodyTextIndent2"/>
        <w:tabs>
          <w:tab w:val="left" w:pos="360"/>
        </w:tabs>
      </w:pPr>
    </w:p>
    <w:p w14:paraId="7C898BC0" w14:textId="77777777" w:rsidR="00983DBE" w:rsidRDefault="00983DBE">
      <w:pPr>
        <w:pStyle w:val="BodyTextIndent2"/>
        <w:tabs>
          <w:tab w:val="left" w:pos="360"/>
        </w:tabs>
        <w:ind w:left="0" w:firstLine="0"/>
      </w:pPr>
    </w:p>
    <w:p w14:paraId="43C342B4" w14:textId="7AC15FEA" w:rsidR="00983DBE" w:rsidRDefault="00F030B1">
      <w:pPr>
        <w:pStyle w:val="BodyTextIndent2"/>
        <w:tabs>
          <w:tab w:val="left" w:pos="360"/>
        </w:tabs>
        <w:ind w:left="0" w:firstLine="0"/>
      </w:pPr>
      <w:r>
        <w:t xml:space="preserve">Reviewed:  </w:t>
      </w:r>
      <w:r w:rsidR="001B26AA">
        <w:t>August 2, 2023</w:t>
      </w:r>
    </w:p>
    <w:p w14:paraId="34E2DA45" w14:textId="77777777" w:rsidR="00983DBE" w:rsidRDefault="00983DBE">
      <w:pPr>
        <w:pStyle w:val="BodyTextIndent2"/>
        <w:tabs>
          <w:tab w:val="left" w:pos="360"/>
        </w:tabs>
        <w:ind w:left="0" w:firstLine="0"/>
      </w:pPr>
      <w:r>
        <w:t xml:space="preserve">Approved by Policy Council on:  </w:t>
      </w:r>
      <w:r w:rsidR="007A472C">
        <w:t>August 26, 2010</w:t>
      </w:r>
    </w:p>
    <w:p w14:paraId="7DDC4B99" w14:textId="77777777" w:rsidR="00221148" w:rsidRDefault="00983DBE">
      <w:pPr>
        <w:pStyle w:val="BodyTextIndent2"/>
        <w:tabs>
          <w:tab w:val="left" w:pos="360"/>
        </w:tabs>
        <w:ind w:left="0" w:firstLine="0"/>
      </w:pPr>
      <w:r>
        <w:t xml:space="preserve">Approved by Grantee Board on:  </w:t>
      </w:r>
      <w:r w:rsidR="00221148">
        <w:t>September 28, 2010</w:t>
      </w:r>
    </w:p>
    <w:p w14:paraId="074D382D" w14:textId="4D48964D" w:rsidR="00983DBE" w:rsidRDefault="00983DBE" w:rsidP="00221148">
      <w:pPr>
        <w:pStyle w:val="BodyTextIndent2"/>
        <w:tabs>
          <w:tab w:val="left" w:pos="360"/>
        </w:tabs>
        <w:ind w:left="0" w:firstLine="0"/>
        <w:jc w:val="right"/>
      </w:pPr>
      <w:r>
        <w:rPr>
          <w:sz w:val="16"/>
        </w:rPr>
        <w:t>PERS 06-706 PY-</w:t>
      </w:r>
      <w:r w:rsidR="001B26AA">
        <w:rPr>
          <w:sz w:val="16"/>
        </w:rPr>
        <w:t>22-23 DW</w:t>
      </w:r>
    </w:p>
    <w:p w14:paraId="3870D91C" w14:textId="77777777" w:rsidR="00983DBE" w:rsidRDefault="00983DBE"/>
    <w:sectPr w:rsidR="00983DB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56A8"/>
    <w:multiLevelType w:val="multilevel"/>
    <w:tmpl w:val="455A032C"/>
    <w:lvl w:ilvl="0">
      <w:start w:val="2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7504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1D"/>
    <w:rsid w:val="0003331D"/>
    <w:rsid w:val="000B0635"/>
    <w:rsid w:val="00122843"/>
    <w:rsid w:val="00191922"/>
    <w:rsid w:val="001B26AA"/>
    <w:rsid w:val="00221148"/>
    <w:rsid w:val="00570AD8"/>
    <w:rsid w:val="005B4AA6"/>
    <w:rsid w:val="0078256F"/>
    <w:rsid w:val="007A472C"/>
    <w:rsid w:val="007C632A"/>
    <w:rsid w:val="00983DBE"/>
    <w:rsid w:val="00AB1700"/>
    <w:rsid w:val="00F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EE15"/>
  <w15:chartTrackingRefBased/>
  <w15:docId w15:val="{92DD6E4A-012A-4707-9623-FF1E4F8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BodyTextIndent">
    <w:name w:val="Body Text Indent"/>
    <w:basedOn w:val="Normal"/>
    <w:semiHidden/>
    <w:pPr>
      <w:ind w:left="1080" w:hanging="360"/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3" w:color="auto"/>
        <w:bottom w:val="single" w:sz="18" w:space="1" w:color="auto"/>
        <w:right w:val="single" w:sz="18" w:space="0" w:color="auto"/>
      </w:pBdr>
      <w:shd w:val="clear" w:color="auto" w:fill="E6E6E6"/>
      <w:tabs>
        <w:tab w:val="left" w:pos="360"/>
      </w:tabs>
      <w:overflowPunct w:val="0"/>
      <w:autoSpaceDE w:val="0"/>
      <w:autoSpaceDN w:val="0"/>
      <w:adjustRightInd w:val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5A19-6A13-4091-A935-60002C778066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E9D170A7-21E1-48D6-AE20-9EEEF8FF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0B6DF-4DA8-4821-91B7-A0D64D6C0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CF7CA-6713-4C1B-B825-F70D215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FAMILY HEAD START</vt:lpstr>
    </vt:vector>
  </TitlesOfParts>
  <Company>KLAMATH FAMILY HEAD START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FAMILY HEAD START</dc:title>
  <dc:subject/>
  <dc:creator>Toyna Ginestar</dc:creator>
  <cp:keywords/>
  <cp:lastModifiedBy>Deborah Watt</cp:lastModifiedBy>
  <cp:revision>3</cp:revision>
  <cp:lastPrinted>2010-09-17T18:44:00Z</cp:lastPrinted>
  <dcterms:created xsi:type="dcterms:W3CDTF">2023-08-02T15:43:00Z</dcterms:created>
  <dcterms:modified xsi:type="dcterms:W3CDTF">2023-08-02T15:43:00Z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